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0C" w:rsidRPr="000267BB" w:rsidRDefault="00AE5C0C" w:rsidP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67BB" w:rsidRDefault="000267BB" w:rsidP="000267B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Look w:val="0600"/>
      </w:tblPr>
      <w:tblGrid>
        <w:gridCol w:w="5364"/>
        <w:gridCol w:w="3642"/>
      </w:tblGrid>
      <w:tr w:rsidR="000267BB" w:rsidTr="000267BB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7BB" w:rsidRDefault="000267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7BB" w:rsidRDefault="000267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AE5C0C" w:rsidRPr="000267BB" w:rsidRDefault="00AE5C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5C0C" w:rsidRPr="000267BB" w:rsidRDefault="000267BB" w:rsidP="0002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E5C0C" w:rsidRPr="000267BB" w:rsidRDefault="0002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оответствующими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разрабатываемыми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утверждаемыми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продолжающих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непрерывное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2.2,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Default="000267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5C0C" w:rsidRPr="000267BB" w:rsidRDefault="000267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5C0C" w:rsidRPr="000267BB" w:rsidRDefault="000267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5C0C" w:rsidRPr="000267BB" w:rsidRDefault="000267B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процен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тствии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аммам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независим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выбора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Совершен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нолетние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2.3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вакантных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внесе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переноситься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практическое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лабораторное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установочна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сессия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сессии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4.3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сессии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овет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редусматриваются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биологической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чебным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4.9.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отведен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теку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поощ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рений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аочной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меньшем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обратилось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gramStart"/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2.3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заявлени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прослушанных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приняты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67BB">
        <w:rPr>
          <w:lang w:val="ru-RU"/>
        </w:rPr>
        <w:br/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5C0C" w:rsidRPr="000267BB" w:rsidRDefault="000267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Предельный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ограничивается</w:t>
      </w:r>
      <w:r w:rsidRPr="000267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E5C0C" w:rsidRPr="000267BB" w:rsidSect="000267BB">
      <w:pgSz w:w="11907" w:h="16839"/>
      <w:pgMar w:top="851" w:right="1134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67BB"/>
    <w:rsid w:val="002D33B1"/>
    <w:rsid w:val="002D3591"/>
    <w:rsid w:val="003514A0"/>
    <w:rsid w:val="004F7E17"/>
    <w:rsid w:val="005A05CE"/>
    <w:rsid w:val="00653AF6"/>
    <w:rsid w:val="00AE5C0C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2022-02-23T17:40:00Z</dcterms:modified>
</cp:coreProperties>
</file>